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в качестве регистрирующего органа для сетевых изданий выступает </w:t>
      </w:r>
      <w:proofErr w:type="spellStart"/>
      <w:r w:rsidR="0023411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E074C3" w:rsidRPr="008B34EC" w:rsidRDefault="00DB2315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>При размещении знака информационной продукции, а также наименования СМИ в выходных данных сетевого издания</w:t>
      </w:r>
      <w:r w:rsidR="00272230">
        <w:rPr>
          <w:rFonts w:eastAsia="Times New Roman"/>
          <w:lang w:eastAsia="ru-RU"/>
        </w:rPr>
        <w:t>,</w:t>
      </w:r>
      <w:r w:rsidR="00E074C3">
        <w:rPr>
          <w:rFonts w:eastAsia="Times New Roman"/>
          <w:lang w:eastAsia="ru-RU"/>
        </w:rPr>
        <w:t xml:space="preserve"> необходимо особое внимание </w:t>
      </w:r>
      <w:r w:rsidR="00E074C3"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 xml:space="preserve">- наименование (название) средства массовой информации должно </w:t>
      </w:r>
      <w:r w:rsidRPr="00984D4C">
        <w:rPr>
          <w:rFonts w:eastAsia="Times New Roman"/>
          <w:lang w:eastAsia="ru-RU"/>
        </w:rPr>
        <w:lastRenderedPageBreak/>
        <w:t>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lastRenderedPageBreak/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</w:t>
      </w:r>
      <w:r w:rsidR="00D17D4E">
        <w:rPr>
          <w:lang w:eastAsia="ru-RU"/>
        </w:rPr>
        <w:lastRenderedPageBreak/>
        <w:t>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proofErr w:type="spellStart"/>
      <w:r>
        <w:rPr>
          <w:lang w:eastAsia="ru-RU"/>
        </w:rPr>
        <w:t>Роскомнадзор</w:t>
      </w:r>
      <w:proofErr w:type="spellEnd"/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30" w:rsidRDefault="00EE4C30" w:rsidP="004C350C">
      <w:pPr>
        <w:spacing w:after="0" w:line="240" w:lineRule="auto"/>
      </w:pPr>
      <w:r>
        <w:separator/>
      </w:r>
    </w:p>
  </w:endnote>
  <w:endnote w:type="continuationSeparator" w:id="0">
    <w:p w:rsidR="00EE4C30" w:rsidRDefault="00EE4C3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30" w:rsidRDefault="00EE4C30" w:rsidP="004C350C">
      <w:pPr>
        <w:spacing w:after="0" w:line="240" w:lineRule="auto"/>
      </w:pPr>
      <w:r>
        <w:separator/>
      </w:r>
    </w:p>
  </w:footnote>
  <w:footnote w:type="continuationSeparator" w:id="0">
    <w:p w:rsidR="00EE4C30" w:rsidRDefault="00EE4C3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2470CC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DB2315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470CC"/>
    <w:rsid w:val="00257EFC"/>
    <w:rsid w:val="00272230"/>
    <w:rsid w:val="002E24C0"/>
    <w:rsid w:val="00323C13"/>
    <w:rsid w:val="00343DF2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80E70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2315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4C30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805F-2E60-4749-8FFA-682D053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Канцелярия ТУ_КраснодарскийКр_23</cp:lastModifiedBy>
  <cp:revision>2</cp:revision>
  <cp:lastPrinted>2015-12-09T09:13:00Z</cp:lastPrinted>
  <dcterms:created xsi:type="dcterms:W3CDTF">2020-06-10T07:11:00Z</dcterms:created>
  <dcterms:modified xsi:type="dcterms:W3CDTF">2020-06-10T07:11:00Z</dcterms:modified>
</cp:coreProperties>
</file>