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 проведении конкурса </w:t>
      </w:r>
    </w:p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7B1258">
        <w:rPr>
          <w:b/>
        </w:rPr>
        <w:t>Управлении Роскомнадзора по Южному федеральному округу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Pr="007B1258" w:rsidRDefault="007B1258" w:rsidP="00AF713A">
      <w:pPr>
        <w:ind w:left="284"/>
        <w:jc w:val="both"/>
      </w:pPr>
      <w:r>
        <w:t xml:space="preserve">Управление </w:t>
      </w:r>
      <w:r w:rsidR="00AF713A">
        <w:t>Федеральн</w:t>
      </w:r>
      <w:r>
        <w:t>ой</w:t>
      </w:r>
      <w:r w:rsidR="00AF713A">
        <w:t xml:space="preserve"> служб</w:t>
      </w:r>
      <w:r>
        <w:t>ы</w:t>
      </w:r>
      <w:r w:rsidR="00AF713A">
        <w:t xml:space="preserve"> по надзору в сфере связи, информационных технологий и массовых коммуникаций </w:t>
      </w:r>
      <w:r w:rsidRPr="007B1258">
        <w:t xml:space="preserve">по Южному федеральному округу </w:t>
      </w:r>
      <w:r w:rsidR="00AF713A" w:rsidRPr="007B1258">
        <w:t>объявляет конкурс на замещение следующих вакантных должностей государственной гражданской службы:</w:t>
      </w:r>
    </w:p>
    <w:p w:rsidR="00AF713A" w:rsidRPr="007B1258" w:rsidRDefault="00AF713A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07"/>
        <w:gridCol w:w="1762"/>
        <w:gridCol w:w="1701"/>
        <w:gridCol w:w="1985"/>
        <w:gridCol w:w="4678"/>
        <w:gridCol w:w="3685"/>
        <w:gridCol w:w="709"/>
        <w:gridCol w:w="708"/>
      </w:tblGrid>
      <w:tr w:rsidR="00073B29" w:rsidRPr="006E1B7B" w:rsidTr="008A1669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>
              <w:rPr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8A166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8A1669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8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8E3" w:rsidRPr="006E1B7B" w:rsidTr="008A1669">
        <w:trPr>
          <w:trHeight w:val="1268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FD00F8" w:rsidP="00C92081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>ведущий специалист-эксперт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701" w:type="dxa"/>
          </w:tcPr>
          <w:p w:rsidR="00467A5F" w:rsidRPr="006E1B7B" w:rsidRDefault="00467A5F" w:rsidP="00FD00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Специалисты </w:t>
            </w:r>
            <w:r w:rsidR="00FD00F8">
              <w:rPr>
                <w:bCs/>
                <w:sz w:val="20"/>
                <w:szCs w:val="20"/>
              </w:rPr>
              <w:t>старшей</w:t>
            </w:r>
            <w:r>
              <w:rPr>
                <w:bCs/>
                <w:sz w:val="20"/>
                <w:szCs w:val="20"/>
              </w:rPr>
              <w:t xml:space="preserve"> группы должностей</w:t>
            </w:r>
          </w:p>
        </w:tc>
        <w:tc>
          <w:tcPr>
            <w:tcW w:w="1985" w:type="dxa"/>
          </w:tcPr>
          <w:p w:rsidR="00467A5F" w:rsidRPr="00320ED0" w:rsidRDefault="00DB1CE2" w:rsidP="00DB1CE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  <w:r w:rsidRPr="00D31EF0">
              <w:rPr>
                <w:rStyle w:val="a6"/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22604" w:rsidRDefault="006D5CF9" w:rsidP="006D5C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B22604" w:rsidRPr="003236B3" w:rsidRDefault="00B22604" w:rsidP="00B22604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B22604" w:rsidRPr="003236B3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B22604" w:rsidRPr="003236B3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B22604" w:rsidRPr="003236B3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B22604" w:rsidRPr="003236B3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143555" w:rsidRPr="00D76B09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</w:t>
            </w:r>
            <w:r w:rsidR="008A16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7A5F" w:rsidRDefault="00D42DC6" w:rsidP="00DB1C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42DC6">
              <w:rPr>
                <w:bCs/>
                <w:sz w:val="20"/>
                <w:szCs w:val="20"/>
              </w:rPr>
              <w:t>осуществление надзорных мероприятий в сфере защиты прав субъектов персональных данны</w:t>
            </w:r>
            <w:r>
              <w:rPr>
                <w:bCs/>
                <w:sz w:val="20"/>
                <w:szCs w:val="20"/>
              </w:rPr>
              <w:t>х</w:t>
            </w:r>
            <w:r w:rsidR="00383292">
              <w:rPr>
                <w:bCs/>
                <w:sz w:val="20"/>
                <w:szCs w:val="20"/>
              </w:rPr>
              <w:t>;</w:t>
            </w:r>
          </w:p>
          <w:p w:rsidR="00383292" w:rsidRDefault="00383292" w:rsidP="003832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83292">
              <w:rPr>
                <w:bCs/>
                <w:sz w:val="20"/>
                <w:szCs w:val="20"/>
              </w:rPr>
              <w:t>внесение сведений (информации) в Единую информационную систему Роскомнадзора (ЕИС)</w:t>
            </w:r>
            <w:r>
              <w:rPr>
                <w:bCs/>
                <w:sz w:val="20"/>
                <w:szCs w:val="20"/>
              </w:rPr>
              <w:t>;</w:t>
            </w:r>
          </w:p>
          <w:p w:rsidR="00383292" w:rsidRPr="006E1B7B" w:rsidRDefault="00383292" w:rsidP="003832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83292">
              <w:rPr>
                <w:bCs/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  <w:r w:rsidR="00757D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67A5F" w:rsidRPr="006E1B7B" w:rsidRDefault="00B22604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67A5F" w:rsidRPr="006E1B7B" w:rsidRDefault="00B22604" w:rsidP="00E537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37C4">
              <w:rPr>
                <w:bCs/>
                <w:sz w:val="20"/>
                <w:szCs w:val="20"/>
              </w:rPr>
              <w:t>7</w:t>
            </w:r>
          </w:p>
        </w:tc>
      </w:tr>
      <w:tr w:rsidR="00D703B9" w:rsidRPr="006E1B7B" w:rsidTr="008A1669">
        <w:trPr>
          <w:trHeight w:val="134"/>
        </w:trPr>
        <w:tc>
          <w:tcPr>
            <w:tcW w:w="507" w:type="dxa"/>
          </w:tcPr>
          <w:p w:rsidR="00D703B9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  <w:p w:rsidR="00D703B9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D703B9" w:rsidRPr="006E1B7B" w:rsidRDefault="00FD00F8" w:rsidP="00C92081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>специалист - эксперт отдела анализа и координации деятельности территориальных управлений</w:t>
            </w:r>
          </w:p>
        </w:tc>
        <w:tc>
          <w:tcPr>
            <w:tcW w:w="1701" w:type="dxa"/>
          </w:tcPr>
          <w:p w:rsidR="00D703B9" w:rsidRPr="006E1B7B" w:rsidRDefault="00D703B9" w:rsidP="00B22604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 xml:space="preserve">Специалисты </w:t>
            </w:r>
            <w:r w:rsidR="00B22604">
              <w:rPr>
                <w:bCs/>
                <w:sz w:val="20"/>
                <w:szCs w:val="20"/>
              </w:rPr>
              <w:t xml:space="preserve">старшей </w:t>
            </w:r>
            <w:r w:rsidRPr="00F516E1">
              <w:rPr>
                <w:bCs/>
                <w:sz w:val="20"/>
                <w:szCs w:val="20"/>
              </w:rPr>
              <w:t>группы должностей</w:t>
            </w:r>
          </w:p>
        </w:tc>
        <w:tc>
          <w:tcPr>
            <w:tcW w:w="1985" w:type="dxa"/>
          </w:tcPr>
          <w:p w:rsidR="00D703B9" w:rsidRPr="0093441B" w:rsidRDefault="00DB1CE2" w:rsidP="0093441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D703B9" w:rsidRDefault="00D703B9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B22604" w:rsidRDefault="00B22604" w:rsidP="00D136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умение систематизировать и анализировать информацию, </w:t>
            </w:r>
          </w:p>
          <w:p w:rsidR="00D13681" w:rsidRPr="003236B3" w:rsidRDefault="00B22604" w:rsidP="00D13681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="00D13681"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D13681" w:rsidRPr="00D76B09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B22604" w:rsidRPr="009143DE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9143DE">
              <w:rPr>
                <w:bCs/>
                <w:sz w:val="20"/>
                <w:szCs w:val="20"/>
              </w:rPr>
              <w:t>нализ и оц</w:t>
            </w:r>
            <w:r>
              <w:rPr>
                <w:bCs/>
                <w:sz w:val="20"/>
                <w:szCs w:val="20"/>
              </w:rPr>
              <w:t>енка информационных материалов;</w:t>
            </w:r>
          </w:p>
          <w:p w:rsidR="00B22604" w:rsidRPr="009143DE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B22604" w:rsidRPr="009143DE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9143DE">
              <w:rPr>
                <w:bCs/>
                <w:sz w:val="20"/>
                <w:szCs w:val="20"/>
              </w:rPr>
              <w:t xml:space="preserve">одготовка проектов </w:t>
            </w:r>
            <w:r>
              <w:rPr>
                <w:bCs/>
                <w:sz w:val="20"/>
                <w:szCs w:val="20"/>
              </w:rPr>
              <w:t>писем в госорганы, организации;</w:t>
            </w:r>
          </w:p>
          <w:p w:rsidR="00B22604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9143DE">
              <w:rPr>
                <w:bCs/>
                <w:sz w:val="20"/>
                <w:szCs w:val="20"/>
              </w:rPr>
              <w:t>абота с информационными системами</w:t>
            </w:r>
            <w:r w:rsidR="000C24B5">
              <w:rPr>
                <w:bCs/>
                <w:sz w:val="20"/>
                <w:szCs w:val="20"/>
              </w:rPr>
              <w:t>;</w:t>
            </w:r>
          </w:p>
          <w:p w:rsidR="000C24B5" w:rsidRPr="00BB329D" w:rsidRDefault="000C24B5" w:rsidP="000C24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BB329D">
              <w:rPr>
                <w:bCs/>
                <w:sz w:val="20"/>
                <w:szCs w:val="20"/>
              </w:rPr>
              <w:t>одготовка аналитической отчетности</w:t>
            </w:r>
            <w:r>
              <w:rPr>
                <w:bCs/>
                <w:sz w:val="20"/>
                <w:szCs w:val="20"/>
              </w:rPr>
              <w:t>;</w:t>
            </w:r>
            <w:r w:rsidRPr="00BB329D">
              <w:rPr>
                <w:bCs/>
                <w:sz w:val="20"/>
                <w:szCs w:val="20"/>
              </w:rPr>
              <w:t xml:space="preserve"> </w:t>
            </w:r>
          </w:p>
          <w:p w:rsidR="008A1669" w:rsidRDefault="008A1669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A1669">
              <w:rPr>
                <w:bCs/>
                <w:sz w:val="20"/>
                <w:szCs w:val="20"/>
              </w:rPr>
              <w:t>осуществление сбора и обобщения информ</w:t>
            </w:r>
            <w:r>
              <w:rPr>
                <w:bCs/>
                <w:sz w:val="20"/>
                <w:szCs w:val="20"/>
              </w:rPr>
              <w:t xml:space="preserve">ации о </w:t>
            </w:r>
            <w:r w:rsidRPr="008A1669">
              <w:rPr>
                <w:bCs/>
                <w:sz w:val="20"/>
                <w:szCs w:val="20"/>
              </w:rPr>
              <w:t>результатах раб</w:t>
            </w:r>
            <w:r>
              <w:rPr>
                <w:bCs/>
                <w:sz w:val="20"/>
                <w:szCs w:val="20"/>
              </w:rPr>
              <w:t>оты территориальных Управлений;</w:t>
            </w:r>
          </w:p>
          <w:p w:rsidR="008A1669" w:rsidRDefault="008A1669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презентаций;</w:t>
            </w:r>
          </w:p>
          <w:p w:rsidR="00B22604" w:rsidRDefault="008A1669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</w:t>
            </w:r>
            <w:r w:rsidRPr="008A1669">
              <w:rPr>
                <w:bCs/>
                <w:sz w:val="20"/>
                <w:szCs w:val="20"/>
              </w:rPr>
              <w:t xml:space="preserve"> планов и отчетов.</w:t>
            </w:r>
          </w:p>
          <w:p w:rsidR="00D703B9" w:rsidRPr="006E1B7B" w:rsidRDefault="00D703B9" w:rsidP="00E53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703B9" w:rsidRPr="006E1B7B" w:rsidRDefault="00B22604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</w:tcPr>
          <w:p w:rsidR="00D703B9" w:rsidRPr="006E1B7B" w:rsidRDefault="00B22604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F48E3" w:rsidRPr="006E1B7B" w:rsidTr="008A1669">
        <w:trPr>
          <w:trHeight w:val="461"/>
        </w:trPr>
        <w:tc>
          <w:tcPr>
            <w:tcW w:w="507" w:type="dxa"/>
          </w:tcPr>
          <w:p w:rsidR="00467A5F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62" w:type="dxa"/>
          </w:tcPr>
          <w:p w:rsidR="00467A5F" w:rsidRPr="006E1B7B" w:rsidRDefault="00FD00F8" w:rsidP="00C92081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>ведущий специалист - эксперт отдела надзора в сфере электросвязи</w:t>
            </w:r>
          </w:p>
        </w:tc>
        <w:tc>
          <w:tcPr>
            <w:tcW w:w="1701" w:type="dxa"/>
          </w:tcPr>
          <w:p w:rsidR="00467A5F" w:rsidRPr="006E1B7B" w:rsidRDefault="00467A5F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467A5F" w:rsidRPr="006E1B7B" w:rsidRDefault="00320ED0" w:rsidP="00D13681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757D5C" w:rsidRDefault="00757D5C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подготовки: высшее образование в сфере связи или информационных технологий.</w:t>
            </w:r>
          </w:p>
          <w:p w:rsidR="00467A5F" w:rsidRDefault="00D76B09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ED3AB4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3236B3" w:rsidRPr="00D76B09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467A5F" w:rsidRDefault="00757D5C" w:rsidP="00757D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57D5C">
              <w:rPr>
                <w:bCs/>
                <w:sz w:val="20"/>
                <w:szCs w:val="20"/>
              </w:rPr>
              <w:t xml:space="preserve"> осуществл</w:t>
            </w:r>
            <w:r>
              <w:rPr>
                <w:bCs/>
                <w:sz w:val="20"/>
                <w:szCs w:val="20"/>
              </w:rPr>
              <w:t>ение</w:t>
            </w:r>
            <w:r w:rsidRPr="00757D5C">
              <w:rPr>
                <w:bCs/>
                <w:sz w:val="20"/>
                <w:szCs w:val="20"/>
              </w:rPr>
              <w:t xml:space="preserve"> государственн</w:t>
            </w:r>
            <w:r>
              <w:rPr>
                <w:bCs/>
                <w:sz w:val="20"/>
                <w:szCs w:val="20"/>
              </w:rPr>
              <w:t>ого</w:t>
            </w:r>
            <w:r w:rsidRPr="00757D5C">
              <w:rPr>
                <w:bCs/>
                <w:sz w:val="20"/>
                <w:szCs w:val="20"/>
              </w:rPr>
              <w:t xml:space="preserve"> контрол</w:t>
            </w:r>
            <w:r>
              <w:rPr>
                <w:bCs/>
                <w:sz w:val="20"/>
                <w:szCs w:val="20"/>
              </w:rPr>
              <w:t>я</w:t>
            </w:r>
            <w:r w:rsidRPr="00757D5C">
              <w:rPr>
                <w:bCs/>
                <w:sz w:val="20"/>
                <w:szCs w:val="20"/>
              </w:rPr>
              <w:t xml:space="preserve"> и надзор</w:t>
            </w:r>
            <w:r>
              <w:rPr>
                <w:bCs/>
                <w:sz w:val="20"/>
                <w:szCs w:val="20"/>
              </w:rPr>
              <w:t>а</w:t>
            </w:r>
            <w:r w:rsidRPr="00757D5C">
              <w:rPr>
                <w:bCs/>
                <w:sz w:val="20"/>
                <w:szCs w:val="20"/>
              </w:rPr>
              <w:t xml:space="preserve"> за деятельностью юридических лиц, индивидуальных предпринимателей и физических лиц в сфере связи</w:t>
            </w:r>
            <w:r>
              <w:rPr>
                <w:bCs/>
                <w:sz w:val="20"/>
                <w:szCs w:val="20"/>
              </w:rPr>
              <w:t>;</w:t>
            </w:r>
          </w:p>
          <w:p w:rsidR="009B5137" w:rsidRPr="009B5137" w:rsidRDefault="00757D5C" w:rsidP="009B51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B5137">
              <w:rPr>
                <w:bCs/>
                <w:sz w:val="20"/>
                <w:szCs w:val="20"/>
              </w:rPr>
              <w:t xml:space="preserve">подготовка проектов </w:t>
            </w:r>
            <w:r w:rsidR="009B5137" w:rsidRPr="009B5137">
              <w:rPr>
                <w:bCs/>
                <w:sz w:val="20"/>
                <w:szCs w:val="20"/>
              </w:rPr>
              <w:t>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      </w:r>
          </w:p>
          <w:p w:rsidR="00757D5C" w:rsidRPr="006E1B7B" w:rsidRDefault="009B5137" w:rsidP="009B51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</w:t>
            </w:r>
            <w:r w:rsidRPr="009B5137">
              <w:rPr>
                <w:bCs/>
                <w:sz w:val="20"/>
                <w:szCs w:val="20"/>
              </w:rPr>
              <w:t>протоколов об административных правонарушениях,  заключений (актов, предписаний) по результатам проведенных надзорных мероп</w:t>
            </w:r>
            <w:r>
              <w:rPr>
                <w:bCs/>
                <w:sz w:val="20"/>
                <w:szCs w:val="20"/>
              </w:rPr>
              <w:t>риятий.</w:t>
            </w:r>
          </w:p>
        </w:tc>
        <w:tc>
          <w:tcPr>
            <w:tcW w:w="709" w:type="dxa"/>
          </w:tcPr>
          <w:p w:rsidR="00467A5F" w:rsidRPr="006E1B7B" w:rsidRDefault="009B5137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67A5F" w:rsidRPr="006E1B7B" w:rsidRDefault="009B5137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320ED0" w:rsidRPr="006E1B7B" w:rsidTr="008A1669">
        <w:trPr>
          <w:trHeight w:val="441"/>
        </w:trPr>
        <w:tc>
          <w:tcPr>
            <w:tcW w:w="507" w:type="dxa"/>
          </w:tcPr>
          <w:p w:rsidR="00320ED0" w:rsidRPr="006E1B7B" w:rsidRDefault="001201C5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320ED0" w:rsidRPr="006E1B7B" w:rsidRDefault="00FD00F8" w:rsidP="00C92081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>старший специалист 1 разряда отдела надзора в сфере электросвязи</w:t>
            </w:r>
          </w:p>
        </w:tc>
        <w:tc>
          <w:tcPr>
            <w:tcW w:w="1701" w:type="dxa"/>
          </w:tcPr>
          <w:p w:rsidR="00320ED0" w:rsidRPr="006E1B7B" w:rsidRDefault="009B5137" w:rsidP="006F5C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Обеспечивающие с</w:t>
            </w:r>
            <w:r w:rsidR="00320ED0">
              <w:rPr>
                <w:bCs/>
                <w:sz w:val="20"/>
                <w:szCs w:val="20"/>
              </w:rPr>
              <w:t>пециалисты старшей  группы должностей</w:t>
            </w:r>
          </w:p>
        </w:tc>
        <w:tc>
          <w:tcPr>
            <w:tcW w:w="1985" w:type="dxa"/>
          </w:tcPr>
          <w:p w:rsidR="00320ED0" w:rsidRPr="009A2510" w:rsidRDefault="009B5137" w:rsidP="006F5C0E">
            <w:pPr>
              <w:jc w:val="center"/>
              <w:rPr>
                <w:bCs/>
                <w:sz w:val="20"/>
                <w:szCs w:val="20"/>
              </w:rPr>
            </w:pPr>
            <w:r w:rsidRPr="009A2510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</w:t>
            </w:r>
          </w:p>
        </w:tc>
        <w:tc>
          <w:tcPr>
            <w:tcW w:w="4678" w:type="dxa"/>
          </w:tcPr>
          <w:p w:rsidR="009B5137" w:rsidRPr="009A2510" w:rsidRDefault="00D76B09" w:rsidP="009B513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A2510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ED3AB4" w:rsidRPr="009A2510">
              <w:rPr>
                <w:rFonts w:eastAsia="Calibri"/>
                <w:sz w:val="20"/>
                <w:szCs w:val="20"/>
                <w:lang w:eastAsia="en-US"/>
              </w:rPr>
              <w:t>***</w:t>
            </w:r>
            <w:r w:rsidR="009143DE" w:rsidRPr="009A251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9A2510" w:rsidRPr="009A2510" w:rsidRDefault="009A2510" w:rsidP="009A2510">
            <w:pPr>
              <w:rPr>
                <w:bCs/>
                <w:sz w:val="20"/>
                <w:szCs w:val="20"/>
              </w:rPr>
            </w:pPr>
            <w:r w:rsidRPr="009A2510">
              <w:rPr>
                <w:bCs/>
                <w:sz w:val="20"/>
                <w:szCs w:val="20"/>
              </w:rPr>
              <w:t>Профессиональные умения:</w:t>
            </w:r>
          </w:p>
          <w:p w:rsidR="009A2510" w:rsidRPr="009A2510" w:rsidRDefault="009A2510" w:rsidP="009A2510">
            <w:pPr>
              <w:rPr>
                <w:bCs/>
                <w:sz w:val="20"/>
                <w:szCs w:val="20"/>
              </w:rPr>
            </w:pPr>
            <w:r w:rsidRPr="009A2510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9A2510" w:rsidRPr="009A2510" w:rsidRDefault="009A2510" w:rsidP="009A2510">
            <w:pPr>
              <w:rPr>
                <w:bCs/>
                <w:sz w:val="20"/>
                <w:szCs w:val="20"/>
              </w:rPr>
            </w:pPr>
            <w:r w:rsidRPr="009A2510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9A2510" w:rsidRPr="009A2510" w:rsidRDefault="009A2510" w:rsidP="009A2510">
            <w:pPr>
              <w:rPr>
                <w:bCs/>
                <w:sz w:val="20"/>
                <w:szCs w:val="20"/>
              </w:rPr>
            </w:pPr>
            <w:r w:rsidRPr="009A2510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9A2510" w:rsidRPr="009A2510" w:rsidRDefault="009A2510" w:rsidP="009A2510">
            <w:pPr>
              <w:rPr>
                <w:bCs/>
                <w:sz w:val="20"/>
                <w:szCs w:val="20"/>
              </w:rPr>
            </w:pPr>
            <w:r w:rsidRPr="009A2510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D76B09" w:rsidRPr="009A2510" w:rsidRDefault="009A2510" w:rsidP="009A2510">
            <w:pPr>
              <w:rPr>
                <w:bCs/>
                <w:sz w:val="20"/>
                <w:szCs w:val="20"/>
              </w:rPr>
            </w:pPr>
            <w:r w:rsidRPr="009A2510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9143DE" w:rsidRPr="009143DE" w:rsidRDefault="009143D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320ED0" w:rsidRDefault="009143DE" w:rsidP="009A25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9143DE">
              <w:rPr>
                <w:bCs/>
                <w:sz w:val="20"/>
                <w:szCs w:val="20"/>
              </w:rPr>
              <w:t>абота с информационными системами</w:t>
            </w:r>
            <w:r w:rsidR="009A2510">
              <w:rPr>
                <w:bCs/>
                <w:sz w:val="20"/>
                <w:szCs w:val="20"/>
              </w:rPr>
              <w:t>;</w:t>
            </w:r>
          </w:p>
          <w:p w:rsidR="009A2510" w:rsidRPr="00361B7D" w:rsidRDefault="009A2510" w:rsidP="009A25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700F2A">
              <w:rPr>
                <w:bCs/>
                <w:sz w:val="20"/>
                <w:szCs w:val="20"/>
              </w:rPr>
              <w:t xml:space="preserve">подготовка </w:t>
            </w:r>
            <w:r w:rsidR="00700F2A" w:rsidRPr="00361B7D">
              <w:rPr>
                <w:bCs/>
                <w:sz w:val="20"/>
                <w:szCs w:val="20"/>
              </w:rPr>
              <w:t>проектов исходящих писем</w:t>
            </w:r>
            <w:r w:rsidRPr="00361B7D">
              <w:rPr>
                <w:bCs/>
                <w:sz w:val="20"/>
                <w:szCs w:val="20"/>
              </w:rPr>
              <w:t>, аналитических записок и отчетов;</w:t>
            </w:r>
          </w:p>
          <w:p w:rsidR="00700F2A" w:rsidRDefault="00700F2A" w:rsidP="009A25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работа в </w:t>
            </w:r>
            <w:r w:rsidRPr="00383292">
              <w:rPr>
                <w:bCs/>
                <w:sz w:val="20"/>
                <w:szCs w:val="20"/>
              </w:rPr>
              <w:t>Един</w:t>
            </w:r>
            <w:r>
              <w:rPr>
                <w:bCs/>
                <w:sz w:val="20"/>
                <w:szCs w:val="20"/>
              </w:rPr>
              <w:t>ой</w:t>
            </w:r>
            <w:r w:rsidRPr="00383292">
              <w:rPr>
                <w:bCs/>
                <w:sz w:val="20"/>
                <w:szCs w:val="20"/>
              </w:rPr>
              <w:t xml:space="preserve"> информационн</w:t>
            </w:r>
            <w:r>
              <w:rPr>
                <w:bCs/>
                <w:sz w:val="20"/>
                <w:szCs w:val="20"/>
              </w:rPr>
              <w:t>ой</w:t>
            </w:r>
            <w:r w:rsidRPr="00383292">
              <w:rPr>
                <w:bCs/>
                <w:sz w:val="20"/>
                <w:szCs w:val="20"/>
              </w:rPr>
              <w:t xml:space="preserve"> систем</w:t>
            </w:r>
            <w:r>
              <w:rPr>
                <w:bCs/>
                <w:sz w:val="20"/>
                <w:szCs w:val="20"/>
              </w:rPr>
              <w:t>е</w:t>
            </w:r>
            <w:r w:rsidRPr="00383292">
              <w:rPr>
                <w:bCs/>
                <w:sz w:val="20"/>
                <w:szCs w:val="20"/>
              </w:rPr>
              <w:t xml:space="preserve"> Роскомнадзора</w:t>
            </w:r>
            <w:r>
              <w:rPr>
                <w:bCs/>
                <w:sz w:val="20"/>
                <w:szCs w:val="20"/>
              </w:rPr>
              <w:t>;</w:t>
            </w:r>
          </w:p>
          <w:p w:rsidR="00700F2A" w:rsidRPr="006D5CF9" w:rsidRDefault="001201C5" w:rsidP="009A251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ведение документооборота отдела, подготовка дел к сдаче в архив.</w:t>
            </w:r>
          </w:p>
          <w:p w:rsidR="009A2510" w:rsidRPr="006E1B7B" w:rsidRDefault="009A2510" w:rsidP="009A251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20ED0" w:rsidRPr="006E1B7B" w:rsidRDefault="001201C5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20ED0" w:rsidRPr="006E1B7B" w:rsidRDefault="001201C5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1201C5" w:rsidRPr="006E1B7B" w:rsidTr="008A1669">
        <w:trPr>
          <w:trHeight w:val="469"/>
        </w:trPr>
        <w:tc>
          <w:tcPr>
            <w:tcW w:w="507" w:type="dxa"/>
          </w:tcPr>
          <w:p w:rsidR="001201C5" w:rsidRPr="006E1B7B" w:rsidRDefault="00361B7D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1201C5" w:rsidRPr="006E1B7B" w:rsidRDefault="001201C5" w:rsidP="00C92081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>старший специалист 2 разряда отдела административного обеспечения</w:t>
            </w:r>
          </w:p>
        </w:tc>
        <w:tc>
          <w:tcPr>
            <w:tcW w:w="1701" w:type="dxa"/>
          </w:tcPr>
          <w:p w:rsidR="001201C5" w:rsidRPr="006E1B7B" w:rsidRDefault="001201C5" w:rsidP="002C0B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Обеспечивающие специалисты старшей  группы должностей</w:t>
            </w:r>
          </w:p>
        </w:tc>
        <w:tc>
          <w:tcPr>
            <w:tcW w:w="1985" w:type="dxa"/>
          </w:tcPr>
          <w:p w:rsidR="001201C5" w:rsidRPr="009A2510" w:rsidRDefault="001201C5" w:rsidP="002C0B0F">
            <w:pPr>
              <w:jc w:val="center"/>
              <w:rPr>
                <w:bCs/>
                <w:sz w:val="20"/>
                <w:szCs w:val="20"/>
              </w:rPr>
            </w:pPr>
            <w:r w:rsidRPr="009A2510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</w:t>
            </w:r>
          </w:p>
        </w:tc>
        <w:tc>
          <w:tcPr>
            <w:tcW w:w="4678" w:type="dxa"/>
          </w:tcPr>
          <w:p w:rsidR="00361B7D" w:rsidRDefault="001201C5" w:rsidP="00361B7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61B7D" w:rsidRDefault="00361B7D" w:rsidP="00361B7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61B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знание </w:t>
            </w:r>
            <w:r w:rsidRPr="00361B7D">
              <w:rPr>
                <w:rFonts w:eastAsia="Calibri"/>
                <w:bCs/>
                <w:sz w:val="20"/>
                <w:szCs w:val="20"/>
                <w:lang w:eastAsia="en-US"/>
              </w:rPr>
              <w:t>форм ведения делопроизводства;</w:t>
            </w:r>
          </w:p>
          <w:p w:rsidR="00361B7D" w:rsidRDefault="00361B7D" w:rsidP="00361B7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61B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знание </w:t>
            </w:r>
            <w:r w:rsidRPr="00361B7D">
              <w:rPr>
                <w:rFonts w:eastAsia="Calibri"/>
                <w:bCs/>
                <w:sz w:val="20"/>
                <w:szCs w:val="20"/>
                <w:lang w:eastAsia="en-US"/>
              </w:rPr>
              <w:t>систем взаимодействия в рамках внутриведомственного и межведомственного электронного документооборота.</w:t>
            </w:r>
          </w:p>
          <w:p w:rsidR="00361B7D" w:rsidRPr="00D76B09" w:rsidRDefault="00361B7D" w:rsidP="00361B7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умение вести </w:t>
            </w:r>
            <w:r w:rsidRPr="00361B7D">
              <w:rPr>
                <w:rFonts w:eastAsia="Calibri"/>
                <w:bCs/>
                <w:sz w:val="20"/>
                <w:szCs w:val="20"/>
                <w:lang w:eastAsia="en-US"/>
              </w:rPr>
              <w:t>прием, учет, обработк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361B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и регистраци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ю</w:t>
            </w:r>
            <w:r w:rsidRPr="00361B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</w:p>
        </w:tc>
        <w:tc>
          <w:tcPr>
            <w:tcW w:w="3685" w:type="dxa"/>
          </w:tcPr>
          <w:p w:rsidR="00A72FDE" w:rsidRPr="00A72FDE" w:rsidRDefault="00A72FDE" w:rsidP="00A72FDE">
            <w:pPr>
              <w:tabs>
                <w:tab w:val="left" w:pos="851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 xml:space="preserve">- </w:t>
            </w:r>
            <w:r w:rsidRPr="00A72FDE">
              <w:rPr>
                <w:rStyle w:val="FontStyle22"/>
                <w:sz w:val="20"/>
                <w:szCs w:val="20"/>
              </w:rPr>
              <w:t>взаимодейств</w:t>
            </w:r>
            <w:r>
              <w:rPr>
                <w:rStyle w:val="FontStyle22"/>
                <w:sz w:val="20"/>
                <w:szCs w:val="20"/>
              </w:rPr>
              <w:t>ие</w:t>
            </w:r>
            <w:r w:rsidRPr="00A72FDE">
              <w:rPr>
                <w:rStyle w:val="FontStyle22"/>
                <w:sz w:val="20"/>
                <w:szCs w:val="20"/>
              </w:rPr>
              <w:t xml:space="preserve"> с</w:t>
            </w:r>
            <w:r>
              <w:rPr>
                <w:rStyle w:val="FontStyle22"/>
                <w:sz w:val="20"/>
                <w:szCs w:val="20"/>
              </w:rPr>
              <w:t>о</w:t>
            </w:r>
            <w:r w:rsidRPr="00A72FDE">
              <w:rPr>
                <w:rStyle w:val="FontStyle22"/>
                <w:sz w:val="20"/>
                <w:szCs w:val="20"/>
              </w:rPr>
              <w:t xml:space="preserve"> </w:t>
            </w:r>
            <w:r>
              <w:rPr>
                <w:rStyle w:val="FontStyle22"/>
                <w:sz w:val="20"/>
                <w:szCs w:val="20"/>
              </w:rPr>
              <w:t xml:space="preserve">структурными подразделениями в </w:t>
            </w:r>
            <w:r w:rsidRPr="00A72FDE">
              <w:rPr>
                <w:rStyle w:val="FontStyle22"/>
                <w:sz w:val="20"/>
                <w:szCs w:val="20"/>
              </w:rPr>
              <w:t>своей сфере деятельности</w:t>
            </w:r>
            <w:r>
              <w:rPr>
                <w:rStyle w:val="FontStyle22"/>
                <w:sz w:val="20"/>
                <w:szCs w:val="20"/>
              </w:rPr>
              <w:t>;</w:t>
            </w:r>
          </w:p>
          <w:p w:rsidR="001201C5" w:rsidRDefault="00A72FD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2FDE">
              <w:rPr>
                <w:bCs/>
                <w:sz w:val="20"/>
                <w:szCs w:val="20"/>
              </w:rPr>
              <w:t>осуществл</w:t>
            </w:r>
            <w:r>
              <w:rPr>
                <w:bCs/>
                <w:sz w:val="20"/>
                <w:szCs w:val="20"/>
              </w:rPr>
              <w:t>ение</w:t>
            </w:r>
            <w:r w:rsidRPr="00A72FDE">
              <w:rPr>
                <w:bCs/>
                <w:sz w:val="20"/>
                <w:szCs w:val="20"/>
              </w:rPr>
              <w:t xml:space="preserve"> прием</w:t>
            </w:r>
            <w:r>
              <w:rPr>
                <w:bCs/>
                <w:sz w:val="20"/>
                <w:szCs w:val="20"/>
              </w:rPr>
              <w:t>а</w:t>
            </w:r>
            <w:r w:rsidRPr="00A72FDE">
              <w:rPr>
                <w:bCs/>
                <w:sz w:val="20"/>
                <w:szCs w:val="20"/>
              </w:rPr>
              <w:t>, регистраци</w:t>
            </w:r>
            <w:r>
              <w:rPr>
                <w:bCs/>
                <w:sz w:val="20"/>
                <w:szCs w:val="20"/>
              </w:rPr>
              <w:t>и</w:t>
            </w:r>
            <w:r w:rsidRPr="00A72FDE">
              <w:rPr>
                <w:bCs/>
                <w:sz w:val="20"/>
                <w:szCs w:val="20"/>
              </w:rPr>
              <w:t xml:space="preserve">, создание записей в электронной системе делопроизводства </w:t>
            </w:r>
            <w:r>
              <w:rPr>
                <w:bCs/>
                <w:sz w:val="20"/>
                <w:szCs w:val="20"/>
              </w:rPr>
              <w:t xml:space="preserve">(СЭД) </w:t>
            </w:r>
            <w:r w:rsidRPr="00A72FDE">
              <w:rPr>
                <w:bCs/>
                <w:sz w:val="20"/>
                <w:szCs w:val="20"/>
              </w:rPr>
              <w:t>Управления и передачу входящей документации на рассмотрение</w:t>
            </w:r>
            <w:r>
              <w:rPr>
                <w:bCs/>
                <w:sz w:val="20"/>
                <w:szCs w:val="20"/>
              </w:rPr>
              <w:t xml:space="preserve"> руководству</w:t>
            </w:r>
            <w:r w:rsidRPr="00A72FDE">
              <w:rPr>
                <w:bCs/>
                <w:sz w:val="20"/>
                <w:szCs w:val="20"/>
              </w:rPr>
              <w:t>;</w:t>
            </w:r>
          </w:p>
          <w:p w:rsidR="00BB71FB" w:rsidRPr="006D5CF9" w:rsidRDefault="00BB71FB" w:rsidP="00BB71FB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ведение документооборота отдела, подготовка дел к сдаче в архив.</w:t>
            </w:r>
          </w:p>
          <w:p w:rsidR="00A72FDE" w:rsidRPr="006E1B7B" w:rsidRDefault="00A72FDE" w:rsidP="00BB329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201C5" w:rsidRPr="006E1B7B" w:rsidRDefault="00BB71FB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201C5" w:rsidRPr="006E1B7B" w:rsidRDefault="00BB71FB" w:rsidP="00BB7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064E7" w:rsidRDefault="0080252D" w:rsidP="0080252D">
      <w:pPr>
        <w:ind w:left="284"/>
        <w:rPr>
          <w:b/>
          <w:i/>
        </w:rPr>
      </w:pPr>
      <w:r>
        <w:rPr>
          <w:b/>
          <w:i/>
        </w:rPr>
        <w:t>**</w:t>
      </w:r>
      <w:r w:rsidRPr="00D064E7">
        <w:rPr>
          <w:b/>
          <w:i/>
        </w:rPr>
        <w:t>Ежемесячное денежное содержание федерального гражданского служащего состоит из:</w:t>
      </w:r>
    </w:p>
    <w:p w:rsidR="00B6358D" w:rsidRDefault="00B6358D" w:rsidP="0080252D">
      <w:pPr>
        <w:ind w:left="284"/>
        <w:jc w:val="both"/>
      </w:pPr>
    </w:p>
    <w:p w:rsidR="0080252D" w:rsidRPr="008D55FE" w:rsidRDefault="0080252D" w:rsidP="0080252D">
      <w:pPr>
        <w:ind w:left="284"/>
        <w:jc w:val="both"/>
      </w:pPr>
      <w:r w:rsidRPr="008D55FE">
        <w:t>должностного оклада;</w:t>
      </w:r>
    </w:p>
    <w:p w:rsidR="0080252D" w:rsidRPr="008D55FE" w:rsidRDefault="0080252D" w:rsidP="0080252D">
      <w:pPr>
        <w:ind w:left="284"/>
        <w:jc w:val="both"/>
      </w:pPr>
      <w:r>
        <w:t>е</w:t>
      </w:r>
      <w:r w:rsidRPr="008D55FE">
        <w:t>жемесячного денежного поощрения;</w:t>
      </w:r>
    </w:p>
    <w:p w:rsidR="0080252D" w:rsidRPr="008D55FE" w:rsidRDefault="0080252D" w:rsidP="0080252D">
      <w:pPr>
        <w:ind w:left="284"/>
        <w:jc w:val="both"/>
      </w:pPr>
      <w:r w:rsidRPr="008D55FE">
        <w:t>оклада за классный чин;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80252D" w:rsidRPr="008D55FE" w:rsidRDefault="0080252D" w:rsidP="0080252D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B6358D" w:rsidRDefault="00B6358D" w:rsidP="0080252D">
      <w:pPr>
        <w:ind w:left="284"/>
        <w:jc w:val="both"/>
      </w:pPr>
    </w:p>
    <w:p w:rsidR="0080252D" w:rsidRDefault="0080252D" w:rsidP="0080252D">
      <w:pPr>
        <w:ind w:left="284"/>
        <w:jc w:val="both"/>
      </w:pPr>
      <w:r w:rsidRPr="008D55FE"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B6358D" w:rsidRDefault="00B6358D" w:rsidP="0080252D">
      <w:pPr>
        <w:ind w:left="284"/>
        <w:jc w:val="both"/>
        <w:rPr>
          <w:b/>
          <w:i/>
        </w:rPr>
      </w:pPr>
    </w:p>
    <w:p w:rsidR="00065FDE" w:rsidRP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80252D" w:rsidRDefault="0080252D" w:rsidP="0080252D">
      <w:pPr>
        <w:ind w:left="284" w:firstLine="708"/>
        <w:jc w:val="both"/>
      </w:pPr>
    </w:p>
    <w:tbl>
      <w:tblPr>
        <w:tblStyle w:val="a3"/>
        <w:tblW w:w="14502" w:type="dxa"/>
        <w:tblInd w:w="284" w:type="dxa"/>
        <w:tblLook w:val="04A0"/>
      </w:tblPr>
      <w:tblGrid>
        <w:gridCol w:w="4644"/>
        <w:gridCol w:w="9858"/>
      </w:tblGrid>
      <w:tr w:rsidR="008A1E9D" w:rsidTr="008A1E9D">
        <w:tc>
          <w:tcPr>
            <w:tcW w:w="4644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9858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Перечень нормативно-правовых актов, знание которых необходимо для замещения вакантной должности</w:t>
            </w:r>
          </w:p>
        </w:tc>
      </w:tr>
      <w:tr w:rsidR="00065FDE" w:rsidTr="008A1E9D">
        <w:tc>
          <w:tcPr>
            <w:tcW w:w="4644" w:type="dxa"/>
          </w:tcPr>
          <w:p w:rsidR="00065FDE" w:rsidRPr="008A1E9D" w:rsidRDefault="008A1E9D" w:rsidP="00BF4551">
            <w:pPr>
              <w:jc w:val="both"/>
              <w:rPr>
                <w:sz w:val="20"/>
                <w:szCs w:val="20"/>
              </w:rPr>
            </w:pPr>
            <w:r w:rsidRPr="008A1E9D">
              <w:rPr>
                <w:bCs/>
                <w:sz w:val="20"/>
                <w:szCs w:val="20"/>
              </w:rPr>
              <w:t xml:space="preserve">Отдел </w:t>
            </w:r>
            <w:r w:rsidR="00BF4551">
              <w:rPr>
                <w:bCs/>
                <w:sz w:val="20"/>
                <w:szCs w:val="20"/>
              </w:rPr>
              <w:t>административного обеспечения</w:t>
            </w:r>
          </w:p>
        </w:tc>
        <w:tc>
          <w:tcPr>
            <w:tcW w:w="9858" w:type="dxa"/>
          </w:tcPr>
          <w:p w:rsidR="00143555" w:rsidRDefault="00143555" w:rsidP="00143555">
            <w:pPr>
              <w:jc w:val="both"/>
              <w:rPr>
                <w:sz w:val="20"/>
                <w:szCs w:val="20"/>
              </w:rPr>
            </w:pPr>
            <w:r w:rsidRPr="00143555">
              <w:rPr>
                <w:sz w:val="20"/>
                <w:szCs w:val="20"/>
              </w:rPr>
              <w:t>знания нор</w:t>
            </w:r>
            <w:r w:rsidR="00BF4551">
              <w:rPr>
                <w:sz w:val="20"/>
                <w:szCs w:val="20"/>
              </w:rPr>
              <w:t>мативно-правовой базы в области делопроизводства;</w:t>
            </w:r>
          </w:p>
          <w:p w:rsidR="00065FDE" w:rsidRPr="008A1E9D" w:rsidRDefault="00065FDE" w:rsidP="00143555">
            <w:pPr>
              <w:jc w:val="both"/>
              <w:rPr>
                <w:sz w:val="20"/>
                <w:szCs w:val="20"/>
              </w:rPr>
            </w:pPr>
          </w:p>
        </w:tc>
      </w:tr>
      <w:tr w:rsidR="008A1E9D" w:rsidTr="008A1E9D">
        <w:tc>
          <w:tcPr>
            <w:tcW w:w="4644" w:type="dxa"/>
          </w:tcPr>
          <w:p w:rsidR="008A1E9D" w:rsidRPr="008A1E9D" w:rsidRDefault="00BF4551" w:rsidP="008A1E9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</w:t>
            </w:r>
            <w:r w:rsidRPr="00FD00F8">
              <w:rPr>
                <w:bCs/>
                <w:sz w:val="20"/>
                <w:szCs w:val="20"/>
              </w:rPr>
              <w:t>анализа и координации деятельности территориальных управлений</w:t>
            </w:r>
          </w:p>
        </w:tc>
        <w:tc>
          <w:tcPr>
            <w:tcW w:w="9858" w:type="dxa"/>
          </w:tcPr>
          <w:p w:rsidR="00D13681" w:rsidRPr="00D13681" w:rsidRDefault="00D13681" w:rsidP="00D13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3681">
              <w:rPr>
                <w:sz w:val="20"/>
                <w:szCs w:val="20"/>
              </w:rPr>
              <w:t>Закон Российской Федерации от 27 декабря 1991 г. № 2124-1 «О средствах массовой информации»;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A1E9D" w:rsidRDefault="00BF4551" w:rsidP="00BF4551">
            <w:pPr>
              <w:jc w:val="both"/>
              <w:rPr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</w:p>
          <w:p w:rsidR="00BF4551" w:rsidRPr="008A1E9D" w:rsidRDefault="00BF4551" w:rsidP="00BF4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положение об Управлении Роскомнадзора по Южному федеральному округу;</w:t>
            </w:r>
          </w:p>
        </w:tc>
      </w:tr>
      <w:tr w:rsidR="00BF4551" w:rsidTr="008A1E9D">
        <w:tc>
          <w:tcPr>
            <w:tcW w:w="4644" w:type="dxa"/>
          </w:tcPr>
          <w:p w:rsidR="00BF4551" w:rsidRDefault="00BF4551" w:rsidP="008A1E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</w:t>
            </w:r>
            <w:r w:rsidRPr="00FD00F8">
              <w:rPr>
                <w:bCs/>
                <w:sz w:val="20"/>
                <w:szCs w:val="20"/>
              </w:rPr>
              <w:t xml:space="preserve"> по защите прав субъектов персональных </w:t>
            </w:r>
            <w:r w:rsidRPr="00FD00F8">
              <w:rPr>
                <w:bCs/>
                <w:sz w:val="20"/>
                <w:szCs w:val="20"/>
              </w:rPr>
              <w:lastRenderedPageBreak/>
              <w:t>данных и надзора в сфере информационных технологий</w:t>
            </w:r>
          </w:p>
        </w:tc>
        <w:tc>
          <w:tcPr>
            <w:tcW w:w="9858" w:type="dxa"/>
          </w:tcPr>
          <w:p w:rsidR="00BF4551" w:rsidRPr="007F260D" w:rsidRDefault="00BF4551" w:rsidP="00BF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F260D">
              <w:rPr>
                <w:sz w:val="20"/>
                <w:szCs w:val="20"/>
              </w:rPr>
              <w:t>Федеральный закон от 27 июля 2006 г. № 152-ФЗ «О персональных данных»;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F260D">
              <w:rPr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BF4551" w:rsidRPr="007F260D" w:rsidRDefault="00BF4551" w:rsidP="00BF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уникаций»;</w:t>
            </w:r>
          </w:p>
          <w:p w:rsidR="00BF4551" w:rsidRDefault="00BF4551" w:rsidP="00BF4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60D">
              <w:rPr>
                <w:sz w:val="20"/>
                <w:szCs w:val="20"/>
              </w:rPr>
      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      </w:r>
          </w:p>
        </w:tc>
      </w:tr>
      <w:tr w:rsidR="00BF4551" w:rsidTr="008A1E9D">
        <w:tc>
          <w:tcPr>
            <w:tcW w:w="4644" w:type="dxa"/>
          </w:tcPr>
          <w:p w:rsidR="00BF4551" w:rsidRDefault="00BF4551" w:rsidP="00BF45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</w:t>
            </w:r>
            <w:r w:rsidRPr="00FD00F8">
              <w:rPr>
                <w:bCs/>
                <w:sz w:val="20"/>
                <w:szCs w:val="20"/>
              </w:rPr>
              <w:t>тдел надзора в сфере электросвязи</w:t>
            </w:r>
          </w:p>
        </w:tc>
        <w:tc>
          <w:tcPr>
            <w:tcW w:w="9858" w:type="dxa"/>
          </w:tcPr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-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 мая 2006 г. № 59-ФЗ «О порядке рассмотрения обращений граждан РФ»;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  <w:r w:rsidR="003F4FA7">
              <w:rPr>
                <w:sz w:val="20"/>
                <w:szCs w:val="20"/>
              </w:rPr>
              <w:t>;</w:t>
            </w:r>
          </w:p>
          <w:p w:rsidR="00BF4551" w:rsidRDefault="003F4FA7" w:rsidP="00BF45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</w:p>
        </w:tc>
      </w:tr>
    </w:tbl>
    <w:p w:rsidR="003F4FA7" w:rsidRDefault="003F4FA7" w:rsidP="0080252D">
      <w:pPr>
        <w:ind w:left="284" w:firstLine="567"/>
        <w:jc w:val="both"/>
      </w:pPr>
    </w:p>
    <w:p w:rsidR="0080252D" w:rsidRPr="008D55FE" w:rsidRDefault="0080252D" w:rsidP="0080252D">
      <w:pPr>
        <w:ind w:left="284" w:firstLine="567"/>
        <w:jc w:val="both"/>
      </w:pPr>
      <w:r w:rsidRPr="008D55FE"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80252D" w:rsidRPr="008D55FE" w:rsidRDefault="0080252D" w:rsidP="0080252D">
      <w:pPr>
        <w:ind w:left="284"/>
        <w:jc w:val="both"/>
      </w:pPr>
    </w:p>
    <w:p w:rsidR="0080252D" w:rsidRPr="008D55FE" w:rsidRDefault="0080252D" w:rsidP="0080252D">
      <w:pPr>
        <w:ind w:left="284"/>
        <w:rPr>
          <w:b/>
          <w:i/>
        </w:rPr>
      </w:pPr>
      <w:r w:rsidRPr="008D55FE">
        <w:rPr>
          <w:b/>
          <w:i/>
        </w:rPr>
        <w:t>Для участия в конкурсе претенденту необходимо представить следующие документы: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>
        <w:t>Личное заявление</w:t>
      </w:r>
      <w:r w:rsidRPr="008D55FE">
        <w:rPr>
          <w:i/>
        </w:rPr>
        <w:t>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>
        <w:t>.</w:t>
      </w:r>
      <w:r w:rsidRPr="008D55FE">
        <w:t xml:space="preserve"> № 667-р </w:t>
      </w:r>
      <w:r w:rsidRPr="008D55FE">
        <w:rPr>
          <w:bCs/>
        </w:rPr>
        <w:t xml:space="preserve">(с изменениями от 16 октября 2007 г.) </w:t>
      </w:r>
      <w:r w:rsidRPr="008D55FE">
        <w:t>с приложением фотографи</w:t>
      </w:r>
      <w:r>
        <w:t>и</w:t>
      </w:r>
      <w:r w:rsidRPr="008D55FE">
        <w:t xml:space="preserve"> (4</w:t>
      </w:r>
      <w:r>
        <w:t>х6</w:t>
      </w:r>
      <w:r w:rsidRPr="008D55FE">
        <w:t>)</w:t>
      </w:r>
      <w:r w:rsidRPr="008D55FE">
        <w:rPr>
          <w:i/>
        </w:rPr>
        <w:t>;</w:t>
      </w:r>
      <w:r w:rsidRPr="008D55FE">
        <w:t xml:space="preserve"> 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Документы, подтверждающие необходимое профессиональное образова</w:t>
      </w:r>
      <w:r>
        <w:t>ние, стаж работы и квалификацию</w:t>
      </w:r>
      <w:r w:rsidRPr="008D55FE">
        <w:t>:</w:t>
      </w:r>
    </w:p>
    <w:p w:rsidR="0080252D" w:rsidRPr="008D55FE" w:rsidRDefault="0080252D" w:rsidP="0080252D">
      <w:pPr>
        <w:ind w:left="709"/>
        <w:jc w:val="both"/>
      </w:pPr>
      <w:r>
        <w:t>а) к</w:t>
      </w:r>
      <w:r w:rsidRPr="008D55FE">
        <w:t>опию трудовой книжки (за исключением случаев, когда служебная (трудовая) деятельность осуществляется впервые), заверенн</w:t>
      </w:r>
      <w:r>
        <w:t>ую</w:t>
      </w:r>
      <w:r w:rsidRPr="008D55FE">
        <w:t xml:space="preserve"> нотариально или кадров</w:t>
      </w:r>
      <w:r>
        <w:t>ой</w:t>
      </w:r>
      <w:r w:rsidRPr="008D55FE">
        <w:t xml:space="preserve"> служб</w:t>
      </w:r>
      <w:r>
        <w:t>ой</w:t>
      </w:r>
      <w:r w:rsidRPr="008D55FE">
        <w:t xml:space="preserve"> по месту работы (службы), или иные документы, подтверждающие трудовую (служебную) деятельность гражданина</w:t>
      </w:r>
      <w:r>
        <w:t xml:space="preserve"> (к</w:t>
      </w:r>
      <w:r w:rsidRPr="008D55FE">
        <w:t>опии документов воинского учета – для военнообязанных и лиц, подлежащих призыву на военную службу</w:t>
      </w:r>
      <w:r>
        <w:t>);</w:t>
      </w:r>
    </w:p>
    <w:p w:rsidR="0080252D" w:rsidRPr="008D55FE" w:rsidRDefault="0080252D" w:rsidP="0080252D">
      <w:pPr>
        <w:ind w:left="709"/>
        <w:jc w:val="both"/>
      </w:pPr>
      <w:r>
        <w:t>б) к</w:t>
      </w:r>
      <w:r w:rsidRPr="008D55FE">
        <w:t xml:space="preserve">опии документов о профессиональном образовании, а также по желанию гражданина </w:t>
      </w:r>
      <w:r>
        <w:t>копии документов, подтверждающих повышение или присвоение квалификации по результатам</w:t>
      </w:r>
      <w:r w:rsidRPr="008D55FE">
        <w:t xml:space="preserve"> дополнительно</w:t>
      </w:r>
      <w:r>
        <w:t>го</w:t>
      </w:r>
      <w:r w:rsidRPr="008D55FE">
        <w:t xml:space="preserve"> профессионально</w:t>
      </w:r>
      <w:r>
        <w:t>го</w:t>
      </w:r>
      <w:r w:rsidRPr="008D55FE">
        <w:t xml:space="preserve"> образовани</w:t>
      </w:r>
      <w:r>
        <w:t>я</w:t>
      </w:r>
      <w:r w:rsidRPr="008D55FE">
        <w:t xml:space="preserve">, </w:t>
      </w:r>
      <w:r>
        <w:t xml:space="preserve">документов </w:t>
      </w:r>
      <w:r w:rsidRPr="008D55FE">
        <w:t>о присвоении ученой степени, ученого звания, заверенные нотариально или кадровыми службами по месту работы (службы);</w:t>
      </w:r>
    </w:p>
    <w:p w:rsidR="0080252D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</w:t>
      </w:r>
      <w:r>
        <w:t>ития РФ от 14.12.2009 г. № 984н.;</w:t>
      </w:r>
    </w:p>
    <w:p w:rsidR="0080252D" w:rsidRDefault="0080252D" w:rsidP="0080252D">
      <w:pPr>
        <w:numPr>
          <w:ilvl w:val="0"/>
          <w:numId w:val="1"/>
        </w:numPr>
        <w:ind w:left="284" w:firstLine="425"/>
        <w:jc w:val="both"/>
      </w:pPr>
      <w:r>
        <w:lastRenderedPageBreak/>
        <w:t xml:space="preserve">Иные документы, предусмотренные Федеральным законом </w:t>
      </w:r>
      <w:r w:rsidRPr="008D55FE">
        <w:t>от 27 июля 2004 года № 79-ФЗ «О государственной гражданской службе Российской Федерации»</w:t>
      </w:r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0252D" w:rsidRPr="008D55FE" w:rsidRDefault="0080252D" w:rsidP="0080252D">
      <w:pPr>
        <w:ind w:left="284" w:firstLine="283"/>
      </w:pPr>
    </w:p>
    <w:p w:rsidR="0080252D" w:rsidRPr="008D55FE" w:rsidRDefault="0080252D" w:rsidP="0080252D">
      <w:pPr>
        <w:ind w:left="284" w:firstLine="567"/>
        <w:jc w:val="both"/>
      </w:pPr>
      <w:r w:rsidRPr="008D55FE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0252D" w:rsidRPr="008D55FE" w:rsidRDefault="0080252D" w:rsidP="0080252D">
      <w:pPr>
        <w:ind w:left="284" w:firstLine="567"/>
        <w:jc w:val="both"/>
      </w:pPr>
    </w:p>
    <w:p w:rsidR="0080252D" w:rsidRPr="008D55FE" w:rsidRDefault="0080252D" w:rsidP="0080252D">
      <w:pPr>
        <w:ind w:left="284" w:firstLine="567"/>
        <w:jc w:val="both"/>
      </w:pPr>
      <w:r w:rsidRPr="008D55FE"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0252D" w:rsidRPr="008D55FE" w:rsidRDefault="0080252D" w:rsidP="0080252D">
      <w:pPr>
        <w:ind w:left="284" w:firstLine="708"/>
        <w:rPr>
          <w:b/>
          <w:i/>
        </w:rPr>
      </w:pPr>
    </w:p>
    <w:p w:rsidR="0080252D" w:rsidRPr="008D55FE" w:rsidRDefault="0080252D" w:rsidP="0080252D">
      <w:pPr>
        <w:ind w:left="284" w:firstLine="708"/>
        <w:rPr>
          <w:b/>
          <w:i/>
        </w:rPr>
      </w:pPr>
      <w:r w:rsidRPr="008D55FE">
        <w:rPr>
          <w:b/>
          <w:i/>
        </w:rPr>
        <w:t>Конкурс проводится в два этапа</w:t>
      </w:r>
    </w:p>
    <w:p w:rsidR="0080252D" w:rsidRPr="008D55FE" w:rsidRDefault="0080252D" w:rsidP="0080252D">
      <w:pPr>
        <w:ind w:left="284"/>
        <w:jc w:val="center"/>
        <w:rPr>
          <w:b/>
          <w:i/>
        </w:rPr>
      </w:pPr>
    </w:p>
    <w:p w:rsidR="0080252D" w:rsidRPr="008D55FE" w:rsidRDefault="0080252D" w:rsidP="0080252D">
      <w:pPr>
        <w:ind w:left="284" w:firstLine="567"/>
        <w:jc w:val="both"/>
      </w:pPr>
      <w:r>
        <w:t xml:space="preserve">Первый этап – прием </w:t>
      </w:r>
      <w:r w:rsidRPr="008D55FE">
        <w:t xml:space="preserve">и рассмотрение </w:t>
      </w:r>
      <w:r>
        <w:t xml:space="preserve">представленных претендентами </w:t>
      </w:r>
      <w:r w:rsidRPr="008D55FE">
        <w:t xml:space="preserve">документов, </w:t>
      </w:r>
      <w:r>
        <w:t xml:space="preserve">второй </w:t>
      </w:r>
      <w:r w:rsidRPr="008D55FE">
        <w:t xml:space="preserve">этап – </w:t>
      </w:r>
      <w:r>
        <w:t xml:space="preserve">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вопросов, и </w:t>
      </w:r>
      <w:r w:rsidRPr="008D55FE">
        <w:t>собеседование.</w:t>
      </w:r>
    </w:p>
    <w:p w:rsidR="0080252D" w:rsidRPr="008D55FE" w:rsidRDefault="0080252D" w:rsidP="0080252D">
      <w:pPr>
        <w:ind w:left="284" w:firstLine="567"/>
        <w:jc w:val="both"/>
      </w:pPr>
      <w:r w:rsidRPr="008D55FE">
        <w:t xml:space="preserve">Документы принимаются в течение 21 дня со дня опубликования данного объявления. Документы для участия в конкурсе следует направлять </w:t>
      </w:r>
      <w:r>
        <w:t>по почте</w:t>
      </w:r>
      <w:r w:rsidRPr="008D55FE">
        <w:t xml:space="preserve"> или представлять </w:t>
      </w:r>
      <w:r>
        <w:t xml:space="preserve">лично </w:t>
      </w:r>
      <w:r>
        <w:rPr>
          <w:b/>
        </w:rPr>
        <w:t>до</w:t>
      </w:r>
      <w:r w:rsidRPr="008D55FE">
        <w:rPr>
          <w:b/>
        </w:rPr>
        <w:t xml:space="preserve"> </w:t>
      </w:r>
      <w:r w:rsidR="003F4FA7">
        <w:rPr>
          <w:b/>
        </w:rPr>
        <w:t>10</w:t>
      </w:r>
      <w:r>
        <w:rPr>
          <w:b/>
        </w:rPr>
        <w:t xml:space="preserve"> сентября</w:t>
      </w:r>
      <w:r w:rsidRPr="008D55FE">
        <w:rPr>
          <w:b/>
        </w:rPr>
        <w:t xml:space="preserve"> 201</w:t>
      </w:r>
      <w:r>
        <w:rPr>
          <w:b/>
        </w:rPr>
        <w:t>7</w:t>
      </w:r>
      <w:r w:rsidRPr="008D55FE">
        <w:rPr>
          <w:b/>
        </w:rPr>
        <w:t xml:space="preserve"> года</w:t>
      </w:r>
      <w:r w:rsidRPr="008D55FE">
        <w:t xml:space="preserve"> включительно по адресу: </w:t>
      </w:r>
      <w:r w:rsidR="003F4FA7">
        <w:t>Маяковского ул., д.158, г. Краснодар, 350001,</w:t>
      </w:r>
      <w:r w:rsidRPr="008D55FE">
        <w:t xml:space="preserve"> с пометкой (на конкурс). Прием документов - ежедневно с </w:t>
      </w:r>
      <w:r w:rsidR="003F4FA7">
        <w:t>8</w:t>
      </w:r>
      <w:r w:rsidRPr="008D55FE">
        <w:t>.00 до 1</w:t>
      </w:r>
      <w:r w:rsidR="003F4FA7">
        <w:t>2</w:t>
      </w:r>
      <w:r w:rsidRPr="008D55FE">
        <w:t>.00 и с 1</w:t>
      </w:r>
      <w:r w:rsidR="003F4FA7">
        <w:t>3</w:t>
      </w:r>
      <w:r w:rsidRPr="008D55FE">
        <w:t>.00 до 1</w:t>
      </w:r>
      <w:r w:rsidR="003F4FA7">
        <w:t>7</w:t>
      </w:r>
      <w:r w:rsidRPr="008D55FE">
        <w:t>.</w:t>
      </w:r>
      <w:r>
        <w:t>0</w:t>
      </w:r>
      <w:r w:rsidRPr="008D55FE">
        <w:t xml:space="preserve">0. Наш сайт: </w:t>
      </w:r>
      <w:r w:rsidRPr="008D55FE">
        <w:rPr>
          <w:lang w:val="en-US"/>
        </w:rPr>
        <w:t>www</w:t>
      </w:r>
      <w:r w:rsidR="003F4FA7">
        <w:t>23</w:t>
      </w:r>
      <w:r w:rsidRPr="008D55FE">
        <w:t>.</w:t>
      </w:r>
      <w:r w:rsidRPr="008D55FE">
        <w:rPr>
          <w:lang w:val="en-US"/>
        </w:rPr>
        <w:t>rkn</w:t>
      </w:r>
      <w:r w:rsidRPr="008D55FE">
        <w:t>.</w:t>
      </w:r>
      <w:r w:rsidRPr="008D55FE">
        <w:rPr>
          <w:lang w:val="en-US"/>
        </w:rPr>
        <w:t>gov</w:t>
      </w:r>
      <w:r w:rsidRPr="008D55FE">
        <w:t>.</w:t>
      </w:r>
      <w:r w:rsidRPr="008D55FE">
        <w:rPr>
          <w:lang w:val="en-US"/>
        </w:rPr>
        <w:t>ru</w:t>
      </w:r>
    </w:p>
    <w:p w:rsidR="00BE5B35" w:rsidRPr="00BE5B35" w:rsidRDefault="0080252D" w:rsidP="0080252D">
      <w:pPr>
        <w:ind w:left="284" w:firstLine="567"/>
      </w:pPr>
      <w:r w:rsidRPr="008D55FE">
        <w:t xml:space="preserve">Контактные телефоны: </w:t>
      </w:r>
      <w:r w:rsidR="00BE5B35">
        <w:t xml:space="preserve">    </w:t>
      </w:r>
      <w:r w:rsidRPr="00BE5B35">
        <w:t>(</w:t>
      </w:r>
      <w:r w:rsidR="003F4FA7">
        <w:t>861</w:t>
      </w:r>
      <w:r w:rsidRPr="00BE5B35">
        <w:t xml:space="preserve">) </w:t>
      </w:r>
      <w:r w:rsidR="003F4FA7">
        <w:t>99-12-413</w:t>
      </w:r>
      <w:r w:rsidR="00BE5B35" w:rsidRPr="00BE5B35">
        <w:t>;</w:t>
      </w:r>
      <w:r w:rsidRPr="00BE5B35">
        <w:t xml:space="preserve"> 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rPr>
          <w:bCs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t xml:space="preserve">Предполагаемая дата второго этапа конкурса – </w:t>
      </w:r>
      <w:r>
        <w:t>последняя неделя сентября</w:t>
      </w:r>
      <w:r w:rsidRPr="008D55FE">
        <w:t xml:space="preserve"> 201</w:t>
      </w:r>
      <w:r>
        <w:t>7</w:t>
      </w:r>
      <w:r w:rsidRPr="008D55FE">
        <w:t xml:space="preserve"> года. Конкретная дата, место, время и форма проведения второго этапа конкурса будут сообщены </w:t>
      </w:r>
      <w:r w:rsidR="00A61101">
        <w:t>дополнительно</w:t>
      </w:r>
      <w:r w:rsidRPr="008D55FE">
        <w:t>. </w:t>
      </w:r>
    </w:p>
    <w:p w:rsidR="0080252D" w:rsidRPr="008D55FE" w:rsidRDefault="0080252D" w:rsidP="0080252D">
      <w:pPr>
        <w:tabs>
          <w:tab w:val="left" w:pos="9355"/>
        </w:tabs>
        <w:ind w:left="284" w:right="-1" w:firstLine="851"/>
        <w:jc w:val="both"/>
      </w:pPr>
    </w:p>
    <w:p w:rsidR="00527AFF" w:rsidRPr="006E1B7B" w:rsidRDefault="00527AFF">
      <w:pPr>
        <w:rPr>
          <w:sz w:val="20"/>
          <w:szCs w:val="20"/>
        </w:rPr>
      </w:pPr>
    </w:p>
    <w:sectPr w:rsidR="00527AFF" w:rsidRPr="006E1B7B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2F" w:rsidRDefault="00AB732F" w:rsidP="00320ED0">
      <w:r>
        <w:separator/>
      </w:r>
    </w:p>
  </w:endnote>
  <w:endnote w:type="continuationSeparator" w:id="1">
    <w:p w:rsidR="00AB732F" w:rsidRDefault="00AB732F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2F" w:rsidRDefault="00AB732F" w:rsidP="00320ED0">
      <w:r>
        <w:separator/>
      </w:r>
    </w:p>
  </w:footnote>
  <w:footnote w:type="continuationSeparator" w:id="1">
    <w:p w:rsidR="00AB732F" w:rsidRDefault="00AB732F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331"/>
    <w:multiLevelType w:val="multilevel"/>
    <w:tmpl w:val="7B54A84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41E57"/>
    <w:rsid w:val="00041F28"/>
    <w:rsid w:val="00062DBC"/>
    <w:rsid w:val="00065FDE"/>
    <w:rsid w:val="00073B29"/>
    <w:rsid w:val="00085BFC"/>
    <w:rsid w:val="000C24B5"/>
    <w:rsid w:val="000D7861"/>
    <w:rsid w:val="001201C5"/>
    <w:rsid w:val="00132827"/>
    <w:rsid w:val="00143555"/>
    <w:rsid w:val="00172B86"/>
    <w:rsid w:val="00220817"/>
    <w:rsid w:val="002B67BA"/>
    <w:rsid w:val="00320ED0"/>
    <w:rsid w:val="003236B3"/>
    <w:rsid w:val="00361B7D"/>
    <w:rsid w:val="00383292"/>
    <w:rsid w:val="00391CCB"/>
    <w:rsid w:val="003A62F8"/>
    <w:rsid w:val="003F4FA7"/>
    <w:rsid w:val="004561C8"/>
    <w:rsid w:val="00467A5F"/>
    <w:rsid w:val="004B0DA3"/>
    <w:rsid w:val="004C5459"/>
    <w:rsid w:val="00527AFF"/>
    <w:rsid w:val="00552336"/>
    <w:rsid w:val="005D1ADE"/>
    <w:rsid w:val="005F1E38"/>
    <w:rsid w:val="00640487"/>
    <w:rsid w:val="006D5CF9"/>
    <w:rsid w:val="006E1B7B"/>
    <w:rsid w:val="006F4B12"/>
    <w:rsid w:val="006F5C0E"/>
    <w:rsid w:val="00700F2A"/>
    <w:rsid w:val="0075128F"/>
    <w:rsid w:val="00757D5C"/>
    <w:rsid w:val="007B1258"/>
    <w:rsid w:val="007B48B2"/>
    <w:rsid w:val="007D51C8"/>
    <w:rsid w:val="007E7199"/>
    <w:rsid w:val="007F1B66"/>
    <w:rsid w:val="007F260D"/>
    <w:rsid w:val="007F48E3"/>
    <w:rsid w:val="0080252D"/>
    <w:rsid w:val="00812AB8"/>
    <w:rsid w:val="0086242A"/>
    <w:rsid w:val="00862F6D"/>
    <w:rsid w:val="008A1669"/>
    <w:rsid w:val="008A1E9D"/>
    <w:rsid w:val="009143DE"/>
    <w:rsid w:val="0093441B"/>
    <w:rsid w:val="009A2510"/>
    <w:rsid w:val="009A361E"/>
    <w:rsid w:val="009B48EE"/>
    <w:rsid w:val="009B5137"/>
    <w:rsid w:val="009C1769"/>
    <w:rsid w:val="00A5196A"/>
    <w:rsid w:val="00A61101"/>
    <w:rsid w:val="00A70382"/>
    <w:rsid w:val="00A72FDE"/>
    <w:rsid w:val="00AB732F"/>
    <w:rsid w:val="00AF713A"/>
    <w:rsid w:val="00AF7514"/>
    <w:rsid w:val="00B22604"/>
    <w:rsid w:val="00B3006B"/>
    <w:rsid w:val="00B436A2"/>
    <w:rsid w:val="00B452CE"/>
    <w:rsid w:val="00B52F25"/>
    <w:rsid w:val="00B619D1"/>
    <w:rsid w:val="00B6358D"/>
    <w:rsid w:val="00B703CF"/>
    <w:rsid w:val="00B74863"/>
    <w:rsid w:val="00BA4AB9"/>
    <w:rsid w:val="00BB329D"/>
    <w:rsid w:val="00BB71FB"/>
    <w:rsid w:val="00BE5B35"/>
    <w:rsid w:val="00BF4551"/>
    <w:rsid w:val="00C45A1E"/>
    <w:rsid w:val="00C84C78"/>
    <w:rsid w:val="00C92081"/>
    <w:rsid w:val="00CE5B87"/>
    <w:rsid w:val="00CF5C7E"/>
    <w:rsid w:val="00D13681"/>
    <w:rsid w:val="00D15959"/>
    <w:rsid w:val="00D321D3"/>
    <w:rsid w:val="00D42DC6"/>
    <w:rsid w:val="00D52572"/>
    <w:rsid w:val="00D55E1B"/>
    <w:rsid w:val="00D703B9"/>
    <w:rsid w:val="00D76B09"/>
    <w:rsid w:val="00DB1CE2"/>
    <w:rsid w:val="00DD01D1"/>
    <w:rsid w:val="00DE4DAF"/>
    <w:rsid w:val="00DE4FCB"/>
    <w:rsid w:val="00E537C4"/>
    <w:rsid w:val="00E93408"/>
    <w:rsid w:val="00EC5710"/>
    <w:rsid w:val="00ED3AB4"/>
    <w:rsid w:val="00F2641B"/>
    <w:rsid w:val="00F516E1"/>
    <w:rsid w:val="00F824EB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FontStyle22">
    <w:name w:val="Font Style22"/>
    <w:basedOn w:val="a0"/>
    <w:rsid w:val="00A72FD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5E3CDF-8C1B-491F-BF27-FFF30A4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maklyak</cp:lastModifiedBy>
  <cp:revision>11</cp:revision>
  <dcterms:created xsi:type="dcterms:W3CDTF">2017-08-17T12:41:00Z</dcterms:created>
  <dcterms:modified xsi:type="dcterms:W3CDTF">2017-08-18T07:56:00Z</dcterms:modified>
</cp:coreProperties>
</file>